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D4" w:rsidRDefault="004469D4" w:rsidP="00856C34">
      <w:pPr>
        <w:spacing w:line="360" w:lineRule="auto"/>
        <w:jc w:val="both"/>
        <w:rPr>
          <w:rFonts w:ascii="方正小标宋简体" w:eastAsia="方正小标宋简体" w:hAnsi="方正小标宋简体" w:cs="方正小标宋简体"/>
          <w:b/>
          <w:sz w:val="44"/>
          <w:szCs w:val="44"/>
        </w:rPr>
      </w:pPr>
    </w:p>
    <w:p w:rsidR="004469D4" w:rsidRDefault="00127D56" w:rsidP="00856C34">
      <w:pPr>
        <w:spacing w:line="360" w:lineRule="auto"/>
        <w:ind w:firstLineChars="48" w:firstLine="225"/>
        <w:jc w:val="center"/>
        <w:rPr>
          <w:rFonts w:ascii="方正小标宋简体" w:eastAsia="方正小标宋简体" w:hAnsi="方正小标宋简体" w:cs="方正小标宋简体"/>
          <w:b/>
          <w:color w:val="FFFFFF" w:themeColor="background1"/>
          <w:w w:val="47"/>
          <w:sz w:val="44"/>
          <w:szCs w:val="44"/>
        </w:rPr>
      </w:pPr>
      <w:r>
        <w:rPr>
          <w:rFonts w:hint="eastAsia"/>
          <w:b/>
          <w:color w:val="FFFFFF" w:themeColor="background1"/>
          <w:w w:val="47"/>
          <w:sz w:val="100"/>
          <w:szCs w:val="100"/>
        </w:rPr>
        <w:t>四平市公共资源交易管理委员会办公室</w:t>
      </w:r>
    </w:p>
    <w:p w:rsidR="004469D4" w:rsidRDefault="004469D4" w:rsidP="00856C34">
      <w:pPr>
        <w:spacing w:line="360" w:lineRule="auto"/>
        <w:ind w:firstLineChars="48" w:firstLine="72"/>
        <w:jc w:val="center"/>
        <w:rPr>
          <w:rFonts w:ascii="方正小标宋简体" w:eastAsia="方正小标宋简体" w:hAnsi="方正小标宋简体" w:cs="方正小标宋简体"/>
          <w:b/>
          <w:sz w:val="15"/>
          <w:szCs w:val="15"/>
        </w:rPr>
      </w:pPr>
    </w:p>
    <w:p w:rsidR="004469D4" w:rsidRDefault="004469D4" w:rsidP="00856C34">
      <w:pPr>
        <w:spacing w:line="360" w:lineRule="auto"/>
        <w:ind w:firstLineChars="48" w:firstLine="154"/>
        <w:jc w:val="center"/>
        <w:rPr>
          <w:rFonts w:ascii="方正小标宋简体" w:eastAsia="方正小标宋简体" w:hAnsi="方正小标宋简体" w:cs="方正小标宋简体"/>
          <w:b/>
          <w:sz w:val="32"/>
          <w:szCs w:val="32"/>
        </w:rPr>
      </w:pPr>
    </w:p>
    <w:p w:rsidR="004469D4" w:rsidRDefault="004469D4" w:rsidP="00856C34">
      <w:pPr>
        <w:spacing w:line="360" w:lineRule="auto"/>
        <w:ind w:firstLineChars="48" w:firstLine="72"/>
        <w:jc w:val="center"/>
        <w:rPr>
          <w:rFonts w:ascii="方正小标宋简体" w:eastAsia="方正小标宋简体" w:hAnsi="方正小标宋简体" w:cs="方正小标宋简体"/>
          <w:b/>
          <w:sz w:val="15"/>
          <w:szCs w:val="15"/>
        </w:rPr>
      </w:pPr>
    </w:p>
    <w:p w:rsidR="004469D4" w:rsidRDefault="00127D56" w:rsidP="00856C34">
      <w:pPr>
        <w:widowControl w:val="0"/>
        <w:adjustRightInd/>
        <w:snapToGrid/>
        <w:spacing w:line="360" w:lineRule="auto"/>
        <w:ind w:firstLine="482"/>
        <w:jc w:val="center"/>
        <w:rPr>
          <w:rFonts w:ascii="仿宋" w:eastAsia="仿宋" w:hAnsi="仿宋" w:cs="仿宋"/>
          <w:sz w:val="32"/>
          <w:szCs w:val="32"/>
        </w:rPr>
      </w:pPr>
      <w:r>
        <w:rPr>
          <w:rFonts w:ascii="仿宋" w:eastAsia="仿宋" w:hAnsi="仿宋" w:cs="仿宋" w:hint="eastAsia"/>
          <w:sz w:val="32"/>
          <w:szCs w:val="32"/>
        </w:rPr>
        <w:t>四公管委办发〔2019〕1号</w:t>
      </w:r>
    </w:p>
    <w:p w:rsidR="004469D4" w:rsidRDefault="004469D4" w:rsidP="00856C34">
      <w:pPr>
        <w:spacing w:line="360" w:lineRule="auto"/>
        <w:jc w:val="center"/>
        <w:rPr>
          <w:rFonts w:ascii="方正小标宋简体" w:eastAsia="方正小标宋简体" w:hAnsi="方正小标宋简体" w:cs="方正小标宋简体"/>
          <w:b/>
          <w:bCs/>
          <w:color w:val="000000"/>
          <w:sz w:val="15"/>
          <w:szCs w:val="15"/>
        </w:rPr>
      </w:pPr>
    </w:p>
    <w:p w:rsidR="004469D4" w:rsidRDefault="00127D56" w:rsidP="00856C34">
      <w:pPr>
        <w:spacing w:after="0" w:line="360" w:lineRule="auto"/>
        <w:jc w:val="center"/>
        <w:rPr>
          <w:rFonts w:ascii="方正小标宋简体" w:eastAsia="方正小标宋简体" w:hAnsi="方正小标宋简体" w:cs="方正小标宋简体"/>
          <w:b/>
          <w:bCs/>
          <w:color w:val="000000"/>
          <w:sz w:val="44"/>
          <w:szCs w:val="44"/>
        </w:rPr>
      </w:pPr>
      <w:r>
        <w:rPr>
          <w:rFonts w:ascii="方正小标宋简体" w:eastAsia="方正小标宋简体" w:hAnsi="方正小标宋简体" w:cs="方正小标宋简体" w:hint="eastAsia"/>
          <w:b/>
          <w:bCs/>
          <w:color w:val="000000"/>
          <w:sz w:val="44"/>
          <w:szCs w:val="44"/>
        </w:rPr>
        <w:t>四平市公共资源交易管理委员会办公室</w:t>
      </w:r>
    </w:p>
    <w:p w:rsidR="004469D4" w:rsidRDefault="00127D56" w:rsidP="00856C34">
      <w:pPr>
        <w:spacing w:after="0" w:line="360" w:lineRule="auto"/>
        <w:jc w:val="center"/>
        <w:rPr>
          <w:rFonts w:ascii="方正小标宋简体" w:eastAsia="方正小标宋简体" w:hAnsi="方正小标宋简体" w:cs="方正小标宋简体"/>
          <w:b/>
          <w:bCs/>
          <w:color w:val="000000"/>
          <w:sz w:val="44"/>
          <w:szCs w:val="44"/>
        </w:rPr>
      </w:pPr>
      <w:r>
        <w:rPr>
          <w:rFonts w:ascii="方正小标宋简体" w:eastAsia="方正小标宋简体" w:hAnsi="方正小标宋简体" w:cs="方正小标宋简体" w:hint="eastAsia"/>
          <w:b/>
          <w:bCs/>
          <w:color w:val="000000"/>
          <w:sz w:val="44"/>
          <w:szCs w:val="44"/>
        </w:rPr>
        <w:t>关于进一步规范招标公告编辑</w:t>
      </w:r>
    </w:p>
    <w:p w:rsidR="004469D4" w:rsidRDefault="00127D56" w:rsidP="00856C34">
      <w:pPr>
        <w:spacing w:after="0" w:line="360" w:lineRule="auto"/>
        <w:jc w:val="center"/>
        <w:rPr>
          <w:rFonts w:ascii="方正小标宋简体" w:eastAsia="方正小标宋简体" w:hAnsi="方正小标宋简体" w:cs="方正小标宋简体"/>
          <w:b/>
          <w:bCs/>
          <w:color w:val="000000"/>
          <w:sz w:val="44"/>
          <w:szCs w:val="44"/>
        </w:rPr>
      </w:pPr>
      <w:r>
        <w:rPr>
          <w:rFonts w:ascii="方正小标宋简体" w:eastAsia="方正小标宋简体" w:hAnsi="方正小标宋简体" w:cs="方正小标宋简体" w:hint="eastAsia"/>
          <w:b/>
          <w:bCs/>
          <w:color w:val="000000"/>
          <w:sz w:val="44"/>
          <w:szCs w:val="44"/>
        </w:rPr>
        <w:t>（共同部分）内容的通知</w:t>
      </w:r>
    </w:p>
    <w:p w:rsidR="004469D4" w:rsidRDefault="004469D4" w:rsidP="00856C34">
      <w:pPr>
        <w:spacing w:after="0" w:line="360" w:lineRule="auto"/>
        <w:jc w:val="both"/>
        <w:rPr>
          <w:rFonts w:ascii="仿宋_GB2312" w:eastAsia="仿宋_GB2312" w:hAnsi="仿宋_GB2312" w:cs="仿宋_GB2312"/>
          <w:color w:val="000000"/>
          <w:sz w:val="32"/>
          <w:szCs w:val="32"/>
        </w:rPr>
      </w:pPr>
    </w:p>
    <w:p w:rsidR="004469D4" w:rsidRDefault="00127D56" w:rsidP="00856C34">
      <w:pPr>
        <w:spacing w:after="0" w:line="360" w:lineRule="auto"/>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各招标(采购)代理机构：</w:t>
      </w:r>
    </w:p>
    <w:p w:rsidR="004469D4" w:rsidRDefault="00127D56" w:rsidP="00856C34">
      <w:pPr>
        <w:spacing w:after="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为进一步规范我市公共资源交易秩序，现对在我市公共资源交易平台发布的招标公告编辑（共同部分）内容做出明确规定，</w:t>
      </w:r>
      <w:r>
        <w:rPr>
          <w:rFonts w:ascii="仿宋_GB2312" w:eastAsia="仿宋_GB2312" w:hAnsi="仿宋_GB2312" w:cs="仿宋_GB2312" w:hint="eastAsia"/>
          <w:color w:val="000000"/>
          <w:sz w:val="32"/>
          <w:szCs w:val="32"/>
        </w:rPr>
        <w:lastRenderedPageBreak/>
        <w:t>制定了《招标公告编辑（共同部分）示范要求》，请各招标(采购)代理机构在发布公告时按规定做好相关工作。</w:t>
      </w:r>
    </w:p>
    <w:p w:rsidR="004469D4" w:rsidRDefault="004469D4" w:rsidP="00856C34">
      <w:pPr>
        <w:spacing w:after="0" w:line="360" w:lineRule="auto"/>
        <w:ind w:firstLineChars="200" w:firstLine="640"/>
        <w:jc w:val="both"/>
        <w:rPr>
          <w:rFonts w:ascii="仿宋_GB2312" w:eastAsia="仿宋_GB2312" w:hAnsi="仿宋_GB2312" w:cs="仿宋_GB2312"/>
          <w:color w:val="000000"/>
          <w:sz w:val="32"/>
          <w:szCs w:val="32"/>
        </w:rPr>
      </w:pPr>
    </w:p>
    <w:p w:rsidR="004469D4" w:rsidRDefault="00127D56" w:rsidP="00856C34">
      <w:pPr>
        <w:spacing w:after="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附件：招标公告编辑（共同部分）示范要求</w:t>
      </w:r>
    </w:p>
    <w:p w:rsidR="004469D4" w:rsidRDefault="004469D4" w:rsidP="00856C34">
      <w:pPr>
        <w:spacing w:after="0" w:line="360" w:lineRule="auto"/>
        <w:jc w:val="both"/>
        <w:rPr>
          <w:rFonts w:ascii="仿宋_GB2312" w:eastAsia="仿宋_GB2312" w:hAnsi="仿宋_GB2312" w:cs="仿宋_GB2312"/>
          <w:color w:val="000000"/>
          <w:sz w:val="32"/>
          <w:szCs w:val="32"/>
        </w:rPr>
      </w:pPr>
    </w:p>
    <w:p w:rsidR="004469D4" w:rsidRDefault="00127D56" w:rsidP="00856C34">
      <w:pPr>
        <w:spacing w:after="0" w:line="360" w:lineRule="auto"/>
        <w:ind w:firstLineChars="900" w:firstLine="28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四平市公共资源交易管理委员会办公室</w:t>
      </w:r>
    </w:p>
    <w:p w:rsidR="004469D4" w:rsidRDefault="00127D56" w:rsidP="00856C34">
      <w:pPr>
        <w:spacing w:after="0" w:line="360" w:lineRule="auto"/>
        <w:ind w:firstLineChars="1500" w:firstLine="480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2019年1月30日</w:t>
      </w:r>
    </w:p>
    <w:p w:rsidR="004469D4" w:rsidRDefault="004469D4" w:rsidP="00856C34">
      <w:pPr>
        <w:spacing w:after="0" w:line="360" w:lineRule="auto"/>
        <w:jc w:val="both"/>
        <w:rPr>
          <w:rFonts w:ascii="黑体" w:eastAsia="黑体" w:hAnsi="黑体" w:cs="黑体"/>
          <w:color w:val="000000"/>
          <w:sz w:val="32"/>
          <w:szCs w:val="32"/>
        </w:rPr>
      </w:pPr>
    </w:p>
    <w:p w:rsidR="004469D4" w:rsidRDefault="00127D56" w:rsidP="00856C34">
      <w:pPr>
        <w:spacing w:after="0" w:line="360" w:lineRule="auto"/>
        <w:jc w:val="both"/>
        <w:rPr>
          <w:rFonts w:ascii="黑体" w:eastAsia="黑体" w:hAnsi="黑体" w:cs="黑体"/>
          <w:color w:val="000000"/>
          <w:sz w:val="32"/>
          <w:szCs w:val="32"/>
        </w:rPr>
      </w:pPr>
      <w:r>
        <w:rPr>
          <w:rFonts w:ascii="黑体" w:eastAsia="黑体" w:hAnsi="黑体" w:cs="黑体" w:hint="eastAsia"/>
          <w:color w:val="000000"/>
          <w:sz w:val="32"/>
          <w:szCs w:val="32"/>
        </w:rPr>
        <w:t>附件：</w:t>
      </w:r>
    </w:p>
    <w:p w:rsidR="004469D4" w:rsidRDefault="00127D56" w:rsidP="00856C34">
      <w:pPr>
        <w:spacing w:after="0" w:line="360" w:lineRule="auto"/>
        <w:ind w:firstLineChars="200" w:firstLine="88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招标公告编辑（共同部分）示范要求</w:t>
      </w:r>
    </w:p>
    <w:p w:rsidR="004469D4" w:rsidRDefault="004469D4" w:rsidP="00856C34">
      <w:pPr>
        <w:spacing w:after="0" w:line="360" w:lineRule="auto"/>
        <w:ind w:firstLineChars="200" w:firstLine="640"/>
        <w:jc w:val="both"/>
        <w:rPr>
          <w:rFonts w:ascii="仿宋_GB2312" w:eastAsia="仿宋_GB2312" w:hAnsi="仿宋_GB2312" w:cs="仿宋_GB2312"/>
          <w:color w:val="000000"/>
          <w:sz w:val="32"/>
          <w:szCs w:val="32"/>
        </w:rPr>
      </w:pPr>
    </w:p>
    <w:p w:rsidR="004469D4" w:rsidRDefault="00127D56" w:rsidP="00856C34">
      <w:pPr>
        <w:spacing w:after="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为了使市公共资源交易平台发布的招标公告规范标准，现对招标公告涉及下列内容的，请按要求做好编辑。</w:t>
      </w:r>
    </w:p>
    <w:p w:rsidR="004469D4" w:rsidRDefault="00127D56" w:rsidP="00856C34">
      <w:pPr>
        <w:spacing w:after="0" w:line="360" w:lineRule="auto"/>
        <w:ind w:firstLineChars="196" w:firstLine="630"/>
        <w:jc w:val="both"/>
        <w:rPr>
          <w:rFonts w:ascii="黑体" w:eastAsia="黑体" w:hAnsi="黑体" w:cs="黑体"/>
          <w:sz w:val="32"/>
          <w:szCs w:val="32"/>
        </w:rPr>
      </w:pPr>
      <w:r>
        <w:rPr>
          <w:rFonts w:ascii="黑体" w:eastAsia="黑体" w:hAnsi="黑体" w:cs="黑体" w:hint="eastAsia"/>
          <w:b/>
          <w:bCs/>
          <w:color w:val="000000"/>
          <w:sz w:val="32"/>
          <w:szCs w:val="32"/>
        </w:rPr>
        <w:t>一、供应商注册、招标文件获取、投标确认</w:t>
      </w:r>
    </w:p>
    <w:p w:rsidR="004469D4" w:rsidRDefault="00127D56" w:rsidP="00856C34">
      <w:pPr>
        <w:spacing w:after="0" w:line="360" w:lineRule="auto"/>
        <w:ind w:firstLineChars="200" w:firstLine="640"/>
        <w:jc w:val="both"/>
        <w:rPr>
          <w:rFonts w:ascii="仿宋_GB2312" w:eastAsia="仿宋_GB2312" w:hAnsi="仿宋_GB2312" w:cs="仿宋_GB2312"/>
          <w:sz w:val="32"/>
          <w:szCs w:val="32"/>
        </w:rPr>
      </w:pPr>
      <w:bookmarkStart w:id="0" w:name="_GoBack"/>
      <w:r>
        <w:rPr>
          <w:rFonts w:ascii="仿宋_GB2312" w:eastAsia="仿宋_GB2312" w:hAnsi="仿宋_GB2312" w:cs="仿宋_GB2312" w:hint="eastAsia"/>
          <w:sz w:val="32"/>
          <w:szCs w:val="32"/>
        </w:rPr>
        <w:t>参与四平市公共资源交易招标项目的供应商，必须在四平市公共资源交易网（http://ggzy.siping.gov.cn/）上注册、**年**月**日到**年**月**日免费下载招标文件；投标人必须在距离</w:t>
      </w:r>
      <w:bookmarkEnd w:id="0"/>
      <w:r>
        <w:rPr>
          <w:rFonts w:ascii="仿宋_GB2312" w:eastAsia="仿宋_GB2312" w:hAnsi="仿宋_GB2312" w:cs="仿宋_GB2312" w:hint="eastAsia"/>
          <w:sz w:val="32"/>
          <w:szCs w:val="32"/>
        </w:rPr>
        <w:t>开标24小时之前在四平市公共资源交易平台“确认参加投标”界面点击“投标”按钮，否则投标无效；点击“投标”按钮后，开标时不参与投标的，取消其在1至2年内投标资格。</w:t>
      </w:r>
    </w:p>
    <w:p w:rsidR="004469D4" w:rsidRDefault="00127D56" w:rsidP="00856C34">
      <w:pPr>
        <w:spacing w:after="0" w:line="360" w:lineRule="auto"/>
        <w:ind w:firstLineChars="196" w:firstLine="630"/>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二、投标文件的递交</w:t>
      </w:r>
    </w:p>
    <w:p w:rsidR="004469D4" w:rsidRDefault="00127D56" w:rsidP="00856C34">
      <w:pPr>
        <w:spacing w:after="0" w:line="360" w:lineRule="auto"/>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sz w:val="32"/>
          <w:szCs w:val="32"/>
        </w:rPr>
        <w:lastRenderedPageBreak/>
        <w:t>开标时间及递交投标文件截止时间为**年**月**日**时**分；递交地点（即开标地点）为********开标室；</w:t>
      </w:r>
      <w:r>
        <w:rPr>
          <w:rFonts w:ascii="仿宋_GB2312" w:eastAsia="仿宋_GB2312" w:hAnsi="仿宋_GB2312" w:cs="仿宋_GB2312" w:hint="eastAsia"/>
          <w:color w:val="333333"/>
          <w:sz w:val="32"/>
          <w:szCs w:val="32"/>
        </w:rPr>
        <w:t>逾期送达的或者未送达指定地点的投标文件，将不予受理。</w:t>
      </w:r>
    </w:p>
    <w:p w:rsidR="004469D4" w:rsidRDefault="00127D56" w:rsidP="00856C34">
      <w:pPr>
        <w:spacing w:after="0" w:line="360" w:lineRule="auto"/>
        <w:ind w:firstLineChars="196" w:firstLine="630"/>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三、投标保证金提交方式</w:t>
      </w:r>
    </w:p>
    <w:p w:rsidR="004469D4" w:rsidRDefault="00127D56" w:rsidP="00856C34">
      <w:pPr>
        <w:spacing w:after="0" w:line="360" w:lineRule="auto"/>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1.公开招标</w:t>
      </w:r>
    </w:p>
    <w:p w:rsidR="004469D4" w:rsidRDefault="00127D56" w:rsidP="00856C34">
      <w:pPr>
        <w:spacing w:after="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开标现场</w:t>
      </w:r>
      <w:r>
        <w:rPr>
          <w:rFonts w:ascii="仿宋_GB2312" w:eastAsia="仿宋_GB2312" w:hAnsi="仿宋_GB2312" w:cs="仿宋_GB2312" w:hint="eastAsia"/>
          <w:bCs/>
          <w:sz w:val="32"/>
          <w:szCs w:val="32"/>
        </w:rPr>
        <w:t>提交从基本户开出的</w:t>
      </w:r>
      <w:r>
        <w:rPr>
          <w:rFonts w:ascii="仿宋_GB2312" w:eastAsia="仿宋_GB2312" w:hAnsi="仿宋_GB2312" w:cs="仿宋_GB2312" w:hint="eastAsia"/>
          <w:bCs/>
          <w:sz w:val="32"/>
          <w:szCs w:val="32"/>
          <w:lang w:val="zh-CN"/>
        </w:rPr>
        <w:t>银行汇票</w:t>
      </w:r>
      <w:r>
        <w:rPr>
          <w:rFonts w:ascii="仿宋_GB2312" w:eastAsia="仿宋_GB2312" w:hAnsi="仿宋_GB2312" w:cs="仿宋_GB2312" w:hint="eastAsia"/>
          <w:sz w:val="32"/>
          <w:szCs w:val="32"/>
          <w:lang w:val="zh-CN"/>
        </w:rPr>
        <w:t>（必须同时提交第2、3联）</w:t>
      </w:r>
      <w:r>
        <w:rPr>
          <w:rFonts w:ascii="仿宋_GB2312" w:eastAsia="仿宋_GB2312" w:hAnsi="仿宋_GB2312" w:cs="仿宋_GB2312" w:hint="eastAsia"/>
          <w:bCs/>
          <w:sz w:val="32"/>
          <w:szCs w:val="32"/>
          <w:lang w:val="zh-CN"/>
        </w:rPr>
        <w:t>、银行本票或银行保函</w:t>
      </w:r>
      <w:r>
        <w:rPr>
          <w:rFonts w:ascii="仿宋_GB2312" w:eastAsia="仿宋_GB2312" w:hAnsi="仿宋_GB2312" w:cs="仿宋_GB2312" w:hint="eastAsia"/>
          <w:sz w:val="32"/>
          <w:szCs w:val="32"/>
        </w:rPr>
        <w:t>原件方式缴纳投标保证金，如果因投标人开户行没有银行汇票、银行本票或银行保函业务范围，可以改为投标人开户行转账缴纳，但必须在开标现场提交开户行出具的无业务范围书面证明和转账票据两个原件，否则视为无效投标。</w:t>
      </w:r>
    </w:p>
    <w:p w:rsidR="004469D4" w:rsidRDefault="00127D56" w:rsidP="00856C34">
      <w:pPr>
        <w:spacing w:after="0"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2.政府采购非招标采购方式</w:t>
      </w:r>
    </w:p>
    <w:p w:rsidR="004469D4" w:rsidRDefault="00127D56" w:rsidP="00856C34">
      <w:pPr>
        <w:spacing w:after="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开启现场</w:t>
      </w:r>
      <w:r>
        <w:rPr>
          <w:rFonts w:ascii="仿宋_GB2312" w:eastAsia="仿宋_GB2312" w:hAnsi="仿宋_GB2312" w:cs="仿宋_GB2312" w:hint="eastAsia"/>
          <w:bCs/>
          <w:sz w:val="32"/>
          <w:szCs w:val="32"/>
        </w:rPr>
        <w:t>提交从基本户开出的</w:t>
      </w:r>
      <w:r>
        <w:rPr>
          <w:rFonts w:ascii="仿宋_GB2312" w:eastAsia="仿宋_GB2312" w:hAnsi="仿宋_GB2312" w:cs="仿宋_GB2312" w:hint="eastAsia"/>
          <w:bCs/>
          <w:sz w:val="32"/>
          <w:szCs w:val="32"/>
          <w:lang w:val="zh-CN"/>
        </w:rPr>
        <w:t>转账支票（只适用四平市内）、银行汇票</w:t>
      </w:r>
      <w:r>
        <w:rPr>
          <w:rFonts w:ascii="仿宋_GB2312" w:eastAsia="仿宋_GB2312" w:hAnsi="仿宋_GB2312" w:cs="仿宋_GB2312" w:hint="eastAsia"/>
          <w:sz w:val="32"/>
          <w:szCs w:val="32"/>
          <w:lang w:val="zh-CN"/>
        </w:rPr>
        <w:t>（必须同时提交第2、3联）</w:t>
      </w:r>
      <w:r>
        <w:rPr>
          <w:rFonts w:ascii="仿宋_GB2312" w:eastAsia="仿宋_GB2312" w:hAnsi="仿宋_GB2312" w:cs="仿宋_GB2312" w:hint="eastAsia"/>
          <w:bCs/>
          <w:sz w:val="32"/>
          <w:szCs w:val="32"/>
          <w:lang w:val="zh-CN"/>
        </w:rPr>
        <w:t>、银行本票或银行保函</w:t>
      </w:r>
      <w:r>
        <w:rPr>
          <w:rFonts w:ascii="仿宋_GB2312" w:eastAsia="仿宋_GB2312" w:hAnsi="仿宋_GB2312" w:cs="仿宋_GB2312" w:hint="eastAsia"/>
          <w:sz w:val="32"/>
          <w:szCs w:val="32"/>
        </w:rPr>
        <w:t>原件方式缴纳谈判（询价或磋商）保证金，如果因响应人开户行没有银行汇票、银行本票或银行保函业务范围，可以改为响应人开户行转账缴纳，但必须在开启现场提交开户行出具的无业务范围书面证明和转账票据两个原件，否则视为无效响应。</w:t>
      </w:r>
    </w:p>
    <w:p w:rsidR="004469D4" w:rsidRDefault="00127D56" w:rsidP="00856C34">
      <w:pPr>
        <w:spacing w:after="0" w:line="360" w:lineRule="auto"/>
        <w:ind w:firstLineChars="196" w:firstLine="630"/>
        <w:jc w:val="both"/>
        <w:rPr>
          <w:rFonts w:ascii="黑体" w:eastAsia="黑体" w:hAnsi="黑体" w:cs="黑体"/>
          <w:b/>
          <w:bCs/>
          <w:color w:val="000000"/>
          <w:sz w:val="32"/>
          <w:szCs w:val="32"/>
        </w:rPr>
      </w:pPr>
      <w:r>
        <w:rPr>
          <w:rFonts w:ascii="黑体" w:eastAsia="黑体" w:hAnsi="黑体" w:cs="黑体" w:hint="eastAsia"/>
          <w:b/>
          <w:bCs/>
          <w:color w:val="000000"/>
          <w:sz w:val="32"/>
          <w:szCs w:val="32"/>
        </w:rPr>
        <w:t>四、发布公告的媒介</w:t>
      </w:r>
    </w:p>
    <w:p w:rsidR="004469D4" w:rsidRDefault="00127D56" w:rsidP="00856C34">
      <w:pPr>
        <w:spacing w:after="0"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本次招标公告在四平市公共资源交易网（http://ggzy.siping.gov.cn/）上发布并同步推送到吉林省公共资源交易公共服务平台（http://www.jl.gov.cn/ggzy/）和全国公共资源交易平台（http://www.ggzy.gov.cn/）。</w:t>
      </w:r>
    </w:p>
    <w:p w:rsidR="004469D4" w:rsidRDefault="00127D56" w:rsidP="00856C34">
      <w:pPr>
        <w:spacing w:after="0" w:line="360" w:lineRule="auto"/>
        <w:ind w:firstLineChars="196" w:firstLine="630"/>
        <w:jc w:val="both"/>
        <w:rPr>
          <w:rFonts w:ascii="黑体" w:eastAsia="黑体" w:hAnsi="黑体" w:cs="黑体"/>
          <w:b/>
          <w:bCs/>
          <w:color w:val="000000"/>
          <w:sz w:val="32"/>
          <w:szCs w:val="32"/>
        </w:rPr>
      </w:pPr>
      <w:r>
        <w:rPr>
          <w:rFonts w:ascii="黑体" w:eastAsia="黑体" w:hAnsi="黑体" w:cs="黑体" w:hint="eastAsia"/>
          <w:b/>
          <w:bCs/>
          <w:color w:val="000000"/>
          <w:sz w:val="32"/>
          <w:szCs w:val="32"/>
        </w:rPr>
        <w:lastRenderedPageBreak/>
        <w:t>五、其它相关要求</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1.资格条件里需加入“</w:t>
      </w:r>
      <w:r>
        <w:rPr>
          <w:rFonts w:ascii="仿宋_GB2312" w:eastAsia="仿宋_GB2312" w:hAnsi="仿宋_GB2312" w:cs="仿宋_GB2312" w:hint="eastAsia"/>
          <w:color w:val="000000"/>
          <w:sz w:val="32"/>
          <w:szCs w:val="32"/>
          <w:lang w:val="zh-CN"/>
        </w:rPr>
        <w:t>须在投标文件里提供投标人代表和项目组成人员（不含退休人员）开标前以投标人名义缴纳的、正常缴费状态的个人参保证明，证明上的二维码要保证移动终端可以扫描识别验证真伪，否则投标无效</w:t>
      </w:r>
      <w:r>
        <w:rPr>
          <w:rFonts w:ascii="仿宋_GB2312" w:eastAsia="仿宋_GB2312" w:hAnsi="仿宋_GB2312" w:cs="仿宋_GB2312" w:hint="eastAsia"/>
          <w:sz w:val="32"/>
          <w:szCs w:val="32"/>
        </w:rPr>
        <w:t>”的要求；</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2.招标公告中不得约定其他报名方式（如现场提交资格证件报名等）和购买招标文件；</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3.招标公告和招标文件中不得有要求投标人开标前告知招标人投标的任何类似约定；</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4.要求潜在投标人踏勘现场必须是自愿，不得强制踏勘现场，也不得对踏勘现场的潜在投标人进行登记；</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sz w:val="32"/>
          <w:szCs w:val="32"/>
        </w:rPr>
        <w:t>无论是供应商注册，还是公告发布等，系统设置的各信息栏务必填写完整、准确；</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6.设置下载招标文件及开标时限，请根据项目类别依据相关法律法规进行设定；</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7.确保招标公告的内容与招标文件一致；</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8.为确保发布的招标公告内容一致，审核未通过的项目招标公告不得率先在其他网站、媒介发布；</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9.公告内发布的项目编号需与项目注册时系统生成的项目编号相一致，多标段（包）的可填写“标段（包）编号”</w:t>
      </w:r>
      <w:r w:rsidR="00126599">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“分包编号”；</w:t>
      </w:r>
    </w:p>
    <w:p w:rsidR="004469D4" w:rsidRDefault="00127D56" w:rsidP="00856C34">
      <w:pPr>
        <w:pStyle w:val="ListParagraph1"/>
        <w:spacing w:after="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10.政府采购非招标采购方式项目采购公告参照此要求执行；</w:t>
      </w:r>
    </w:p>
    <w:p w:rsidR="004469D4" w:rsidRDefault="00127D56" w:rsidP="00856C34">
      <w:pPr>
        <w:pStyle w:val="ListParagraph1"/>
        <w:spacing w:after="0" w:line="360" w:lineRule="auto"/>
        <w:ind w:leftChars="292" w:left="642" w:firstLineChars="0" w:firstLine="0"/>
        <w:jc w:val="both"/>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11.</w:t>
      </w:r>
      <w:r>
        <w:rPr>
          <w:rFonts w:ascii="仿宋_GB2312" w:eastAsia="仿宋_GB2312" w:hAnsi="仿宋_GB2312" w:cs="仿宋_GB2312" w:hint="eastAsia"/>
          <w:bCs/>
          <w:sz w:val="32"/>
          <w:szCs w:val="32"/>
        </w:rPr>
        <w:t>技术支持咨询联系电话：</w:t>
      </w:r>
      <w:r>
        <w:rPr>
          <w:rFonts w:ascii="仿宋_GB2312" w:eastAsia="仿宋_GB2312" w:hAnsi="仿宋_GB2312" w:cs="仿宋_GB2312" w:hint="eastAsia"/>
          <w:color w:val="333333"/>
          <w:sz w:val="32"/>
          <w:szCs w:val="32"/>
          <w:shd w:val="clear" w:color="auto" w:fill="FFFFFF"/>
        </w:rPr>
        <w:t>0434-3211112、0434-3211113、4009980000</w:t>
      </w:r>
      <w:r>
        <w:rPr>
          <w:rFonts w:ascii="仿宋_GB2312" w:eastAsia="仿宋_GB2312" w:hAnsi="仿宋_GB2312" w:cs="仿宋_GB2312" w:hint="eastAsia"/>
          <w:bCs/>
          <w:sz w:val="32"/>
          <w:szCs w:val="32"/>
        </w:rPr>
        <w:t>；</w:t>
      </w:r>
    </w:p>
    <w:p w:rsidR="004469D4" w:rsidRDefault="00127D56" w:rsidP="00856C34">
      <w:pPr>
        <w:pStyle w:val="ListParagraph1"/>
        <w:spacing w:after="0" w:line="360" w:lineRule="auto"/>
        <w:ind w:leftChars="292" w:left="642" w:firstLineChars="0" w:firstLine="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12.根据实际需要将适时修改，如有调整，另行通知。 </w:t>
      </w:r>
    </w:p>
    <w:p w:rsidR="004469D4" w:rsidRDefault="004469D4" w:rsidP="00856C34">
      <w:pPr>
        <w:pStyle w:val="ListParagraph1"/>
        <w:spacing w:after="0" w:line="360" w:lineRule="auto"/>
        <w:ind w:leftChars="292" w:left="642" w:firstLineChars="0" w:firstLine="0"/>
        <w:jc w:val="both"/>
        <w:rPr>
          <w:rFonts w:ascii="仿宋_GB2312" w:eastAsia="仿宋_GB2312" w:hAnsi="仿宋_GB2312" w:cs="仿宋_GB2312"/>
          <w:sz w:val="32"/>
          <w:szCs w:val="32"/>
        </w:rPr>
      </w:pPr>
    </w:p>
    <w:p w:rsidR="004469D4" w:rsidRDefault="004469D4" w:rsidP="00856C34">
      <w:pPr>
        <w:pStyle w:val="ListParagraph1"/>
        <w:spacing w:after="0" w:line="360" w:lineRule="auto"/>
        <w:ind w:leftChars="292" w:left="642" w:firstLineChars="0" w:firstLine="0"/>
        <w:jc w:val="both"/>
        <w:rPr>
          <w:rFonts w:ascii="仿宋_GB2312" w:eastAsia="仿宋_GB2312" w:hAnsi="仿宋_GB2312" w:cs="仿宋_GB2312"/>
          <w:sz w:val="32"/>
          <w:szCs w:val="32"/>
        </w:rPr>
      </w:pPr>
    </w:p>
    <w:p w:rsidR="004469D4" w:rsidRDefault="004469D4" w:rsidP="00856C34">
      <w:pPr>
        <w:pStyle w:val="ListParagraph1"/>
        <w:spacing w:after="0" w:line="360" w:lineRule="auto"/>
        <w:ind w:leftChars="292" w:left="642" w:firstLineChars="0" w:firstLine="0"/>
        <w:jc w:val="both"/>
        <w:rPr>
          <w:rFonts w:ascii="仿宋_GB2312" w:eastAsia="仿宋_GB2312" w:hAnsi="仿宋_GB2312" w:cs="仿宋_GB2312"/>
          <w:sz w:val="32"/>
          <w:szCs w:val="32"/>
        </w:rPr>
      </w:pPr>
    </w:p>
    <w:p w:rsidR="004469D4" w:rsidRDefault="00127D56" w:rsidP="00856C34">
      <w:pPr>
        <w:spacing w:after="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469D4" w:rsidRDefault="00127D56" w:rsidP="00856C34">
      <w:pPr>
        <w:spacing w:after="0" w:line="360" w:lineRule="auto"/>
        <w:ind w:leftChars="50" w:left="110" w:firstLineChars="150" w:firstLine="4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469D4" w:rsidRDefault="004469D4" w:rsidP="00856C34">
      <w:pPr>
        <w:spacing w:after="0" w:line="360" w:lineRule="auto"/>
        <w:ind w:leftChars="50" w:left="110" w:firstLineChars="150" w:firstLine="480"/>
        <w:jc w:val="both"/>
        <w:rPr>
          <w:rFonts w:ascii="仿宋_GB2312" w:eastAsia="仿宋_GB2312" w:hAnsi="仿宋_GB2312" w:cs="仿宋_GB2312"/>
          <w:sz w:val="32"/>
          <w:szCs w:val="32"/>
        </w:rPr>
      </w:pPr>
    </w:p>
    <w:p w:rsidR="004469D4" w:rsidRDefault="004469D4" w:rsidP="00856C34">
      <w:pPr>
        <w:spacing w:after="0" w:line="360" w:lineRule="auto"/>
        <w:jc w:val="both"/>
        <w:rPr>
          <w:rFonts w:ascii="仿宋_GB2312" w:eastAsia="仿宋_GB2312" w:hAnsi="仿宋_GB2312" w:cs="仿宋_GB2312"/>
          <w:color w:val="000000"/>
          <w:sz w:val="32"/>
          <w:szCs w:val="32"/>
        </w:rPr>
      </w:pPr>
    </w:p>
    <w:sectPr w:rsidR="004469D4" w:rsidSect="004469D4">
      <w:footerReference w:type="default" r:id="rId8"/>
      <w:pgSz w:w="11906" w:h="16838"/>
      <w:pgMar w:top="1134" w:right="1440" w:bottom="283" w:left="1440" w:header="851" w:footer="56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EE6" w:rsidRDefault="00483EE6" w:rsidP="004469D4">
      <w:pPr>
        <w:spacing w:after="0"/>
      </w:pPr>
      <w:r>
        <w:separator/>
      </w:r>
    </w:p>
  </w:endnote>
  <w:endnote w:type="continuationSeparator" w:id="0">
    <w:p w:rsidR="00483EE6" w:rsidRDefault="00483EE6" w:rsidP="004469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D4" w:rsidRDefault="004469D4">
    <w:pPr>
      <w:pStyle w:val="a4"/>
      <w:jc w:val="center"/>
    </w:pPr>
    <w:r>
      <w:fldChar w:fldCharType="begin"/>
    </w:r>
    <w:r w:rsidR="00127D56">
      <w:instrText xml:space="preserve"> PAGE   \* MERGEFORMAT </w:instrText>
    </w:r>
    <w:r>
      <w:fldChar w:fldCharType="separate"/>
    </w:r>
    <w:r w:rsidR="00856C34" w:rsidRPr="00856C34">
      <w:rPr>
        <w:noProof/>
        <w:lang w:val="zh-CN"/>
      </w:rPr>
      <w:t>5</w:t>
    </w:r>
    <w:r>
      <w:rPr>
        <w:lang w:val="zh-CN"/>
      </w:rPr>
      <w:fldChar w:fldCharType="end"/>
    </w:r>
  </w:p>
  <w:p w:rsidR="004469D4" w:rsidRDefault="004469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EE6" w:rsidRDefault="00483EE6" w:rsidP="004469D4">
      <w:pPr>
        <w:spacing w:after="0"/>
      </w:pPr>
      <w:r>
        <w:separator/>
      </w:r>
    </w:p>
  </w:footnote>
  <w:footnote w:type="continuationSeparator" w:id="0">
    <w:p w:rsidR="00483EE6" w:rsidRDefault="00483EE6" w:rsidP="004469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96C6F"/>
    <w:rsid w:val="0001632F"/>
    <w:rsid w:val="00016D44"/>
    <w:rsid w:val="000671BB"/>
    <w:rsid w:val="000C3C70"/>
    <w:rsid w:val="000E1AFB"/>
    <w:rsid w:val="000E2061"/>
    <w:rsid w:val="00110D42"/>
    <w:rsid w:val="001206A9"/>
    <w:rsid w:val="00126599"/>
    <w:rsid w:val="00127D56"/>
    <w:rsid w:val="001B4997"/>
    <w:rsid w:val="001E475D"/>
    <w:rsid w:val="00247848"/>
    <w:rsid w:val="002651DE"/>
    <w:rsid w:val="002830E5"/>
    <w:rsid w:val="00285057"/>
    <w:rsid w:val="00297434"/>
    <w:rsid w:val="002C1A20"/>
    <w:rsid w:val="003044B2"/>
    <w:rsid w:val="00305167"/>
    <w:rsid w:val="003449CD"/>
    <w:rsid w:val="003616F1"/>
    <w:rsid w:val="003702A4"/>
    <w:rsid w:val="00372183"/>
    <w:rsid w:val="00393860"/>
    <w:rsid w:val="003958DA"/>
    <w:rsid w:val="003B53C6"/>
    <w:rsid w:val="003D4F0C"/>
    <w:rsid w:val="00404A7C"/>
    <w:rsid w:val="00406318"/>
    <w:rsid w:val="00412178"/>
    <w:rsid w:val="00417222"/>
    <w:rsid w:val="00425D64"/>
    <w:rsid w:val="004262A4"/>
    <w:rsid w:val="0044652F"/>
    <w:rsid w:val="004469D4"/>
    <w:rsid w:val="004529FE"/>
    <w:rsid w:val="00456E84"/>
    <w:rsid w:val="00483EE6"/>
    <w:rsid w:val="00490BFA"/>
    <w:rsid w:val="004C2129"/>
    <w:rsid w:val="00564363"/>
    <w:rsid w:val="00565996"/>
    <w:rsid w:val="00571D15"/>
    <w:rsid w:val="00572888"/>
    <w:rsid w:val="005A3985"/>
    <w:rsid w:val="005A4B2C"/>
    <w:rsid w:val="00642744"/>
    <w:rsid w:val="0069247E"/>
    <w:rsid w:val="006C66E7"/>
    <w:rsid w:val="006C78FE"/>
    <w:rsid w:val="006D03FF"/>
    <w:rsid w:val="006D5C6F"/>
    <w:rsid w:val="006F0FF7"/>
    <w:rsid w:val="00700BED"/>
    <w:rsid w:val="00740765"/>
    <w:rsid w:val="00777BD7"/>
    <w:rsid w:val="00790A69"/>
    <w:rsid w:val="007964EB"/>
    <w:rsid w:val="007A5748"/>
    <w:rsid w:val="007B0DD5"/>
    <w:rsid w:val="007C175A"/>
    <w:rsid w:val="007C6369"/>
    <w:rsid w:val="007C63DC"/>
    <w:rsid w:val="007C751A"/>
    <w:rsid w:val="007D0092"/>
    <w:rsid w:val="007D0DF5"/>
    <w:rsid w:val="007E0259"/>
    <w:rsid w:val="007E1173"/>
    <w:rsid w:val="007F234C"/>
    <w:rsid w:val="00804F02"/>
    <w:rsid w:val="00831FCC"/>
    <w:rsid w:val="00842004"/>
    <w:rsid w:val="00856C34"/>
    <w:rsid w:val="00874ACD"/>
    <w:rsid w:val="00882423"/>
    <w:rsid w:val="008C177F"/>
    <w:rsid w:val="00935F05"/>
    <w:rsid w:val="009500D3"/>
    <w:rsid w:val="00953B89"/>
    <w:rsid w:val="009D1011"/>
    <w:rsid w:val="00A2306C"/>
    <w:rsid w:val="00A32629"/>
    <w:rsid w:val="00A4438B"/>
    <w:rsid w:val="00A7120F"/>
    <w:rsid w:val="00AA1DC9"/>
    <w:rsid w:val="00AA2381"/>
    <w:rsid w:val="00AB6A61"/>
    <w:rsid w:val="00AC3A28"/>
    <w:rsid w:val="00AC6673"/>
    <w:rsid w:val="00AE180F"/>
    <w:rsid w:val="00BA661B"/>
    <w:rsid w:val="00BC5ADE"/>
    <w:rsid w:val="00C462E6"/>
    <w:rsid w:val="00C52A2F"/>
    <w:rsid w:val="00C55CCD"/>
    <w:rsid w:val="00C84884"/>
    <w:rsid w:val="00CC6E4D"/>
    <w:rsid w:val="00CD74E4"/>
    <w:rsid w:val="00D441B0"/>
    <w:rsid w:val="00D82600"/>
    <w:rsid w:val="00D85A03"/>
    <w:rsid w:val="00D96427"/>
    <w:rsid w:val="00DB74F2"/>
    <w:rsid w:val="00DC57DF"/>
    <w:rsid w:val="00DF5172"/>
    <w:rsid w:val="00E22240"/>
    <w:rsid w:val="00E37232"/>
    <w:rsid w:val="00E7111B"/>
    <w:rsid w:val="00E810A0"/>
    <w:rsid w:val="00E92BB6"/>
    <w:rsid w:val="00EC5547"/>
    <w:rsid w:val="00EE2B5C"/>
    <w:rsid w:val="00F02BDC"/>
    <w:rsid w:val="00F12EF3"/>
    <w:rsid w:val="00F24ADD"/>
    <w:rsid w:val="00F4781F"/>
    <w:rsid w:val="00FB520A"/>
    <w:rsid w:val="00FC213B"/>
    <w:rsid w:val="028E74F2"/>
    <w:rsid w:val="08F02B67"/>
    <w:rsid w:val="0C790750"/>
    <w:rsid w:val="12CB531C"/>
    <w:rsid w:val="1E826757"/>
    <w:rsid w:val="20496C6F"/>
    <w:rsid w:val="21B35315"/>
    <w:rsid w:val="222D7243"/>
    <w:rsid w:val="2240117E"/>
    <w:rsid w:val="25436EDF"/>
    <w:rsid w:val="26B81BEC"/>
    <w:rsid w:val="26ED58CE"/>
    <w:rsid w:val="30427AC0"/>
    <w:rsid w:val="3B294E69"/>
    <w:rsid w:val="44F670C2"/>
    <w:rsid w:val="47586F59"/>
    <w:rsid w:val="475A022C"/>
    <w:rsid w:val="48974343"/>
    <w:rsid w:val="510951EB"/>
    <w:rsid w:val="5AFE6245"/>
    <w:rsid w:val="625111EB"/>
    <w:rsid w:val="63901114"/>
    <w:rsid w:val="66E65636"/>
    <w:rsid w:val="677869F9"/>
    <w:rsid w:val="73065F2F"/>
    <w:rsid w:val="79A86680"/>
    <w:rsid w:val="7A030A9C"/>
    <w:rsid w:val="7C7345C6"/>
    <w:rsid w:val="7D2D0FEC"/>
    <w:rsid w:val="7F5F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er" w:semiHidden="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9D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4469D4"/>
    <w:pPr>
      <w:widowControl w:val="0"/>
      <w:snapToGrid/>
      <w:spacing w:after="0" w:line="315" w:lineRule="atLeast"/>
      <w:ind w:firstLine="420"/>
      <w:textAlignment w:val="baseline"/>
    </w:pPr>
    <w:rPr>
      <w:rFonts w:ascii="宋体" w:eastAsia="宋体" w:hAnsi="Times New Roman"/>
      <w:sz w:val="20"/>
      <w:szCs w:val="24"/>
    </w:rPr>
  </w:style>
  <w:style w:type="paragraph" w:styleId="a4">
    <w:name w:val="footer"/>
    <w:basedOn w:val="a"/>
    <w:link w:val="Char0"/>
    <w:uiPriority w:val="99"/>
    <w:unhideWhenUsed/>
    <w:rsid w:val="004469D4"/>
    <w:pPr>
      <w:tabs>
        <w:tab w:val="center" w:pos="4153"/>
        <w:tab w:val="right" w:pos="8306"/>
      </w:tabs>
    </w:pPr>
    <w:rPr>
      <w:sz w:val="18"/>
      <w:szCs w:val="18"/>
    </w:rPr>
  </w:style>
  <w:style w:type="paragraph" w:styleId="a5">
    <w:name w:val="header"/>
    <w:basedOn w:val="a"/>
    <w:link w:val="Char1"/>
    <w:uiPriority w:val="99"/>
    <w:semiHidden/>
    <w:unhideWhenUsed/>
    <w:rsid w:val="004469D4"/>
    <w:pPr>
      <w:pBdr>
        <w:bottom w:val="single" w:sz="6" w:space="1" w:color="auto"/>
      </w:pBdr>
      <w:tabs>
        <w:tab w:val="center" w:pos="4153"/>
        <w:tab w:val="right" w:pos="8306"/>
      </w:tabs>
      <w:jc w:val="center"/>
    </w:pPr>
    <w:rPr>
      <w:sz w:val="18"/>
      <w:szCs w:val="18"/>
    </w:rPr>
  </w:style>
  <w:style w:type="paragraph" w:customStyle="1" w:styleId="ListParagraph1">
    <w:name w:val="List Paragraph1"/>
    <w:basedOn w:val="a"/>
    <w:uiPriority w:val="99"/>
    <w:rsid w:val="004469D4"/>
    <w:pPr>
      <w:ind w:firstLineChars="200" w:firstLine="420"/>
    </w:pPr>
  </w:style>
  <w:style w:type="character" w:customStyle="1" w:styleId="Char1">
    <w:name w:val="页眉 Char"/>
    <w:basedOn w:val="a0"/>
    <w:link w:val="a5"/>
    <w:uiPriority w:val="99"/>
    <w:semiHidden/>
    <w:rsid w:val="004469D4"/>
    <w:rPr>
      <w:rFonts w:ascii="Tahoma" w:eastAsia="微软雅黑" w:hAnsi="Tahoma"/>
      <w:kern w:val="0"/>
      <w:sz w:val="18"/>
      <w:szCs w:val="18"/>
    </w:rPr>
  </w:style>
  <w:style w:type="character" w:customStyle="1" w:styleId="Char0">
    <w:name w:val="页脚 Char"/>
    <w:basedOn w:val="a0"/>
    <w:link w:val="a4"/>
    <w:uiPriority w:val="99"/>
    <w:rsid w:val="004469D4"/>
    <w:rPr>
      <w:rFonts w:ascii="Tahoma" w:eastAsia="微软雅黑" w:hAnsi="Tahoma"/>
      <w:kern w:val="0"/>
      <w:sz w:val="18"/>
      <w:szCs w:val="18"/>
    </w:rPr>
  </w:style>
  <w:style w:type="character" w:customStyle="1" w:styleId="Char">
    <w:name w:val="正文缩进 Char"/>
    <w:link w:val="a3"/>
    <w:rsid w:val="004469D4"/>
    <w:rPr>
      <w:rFonts w:ascii="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er" w:semiHidden="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9D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4469D4"/>
    <w:pPr>
      <w:widowControl w:val="0"/>
      <w:snapToGrid/>
      <w:spacing w:after="0" w:line="315" w:lineRule="atLeast"/>
      <w:ind w:firstLine="420"/>
      <w:textAlignment w:val="baseline"/>
    </w:pPr>
    <w:rPr>
      <w:rFonts w:ascii="宋体" w:eastAsia="宋体" w:hAnsi="Times New Roman"/>
      <w:sz w:val="20"/>
      <w:szCs w:val="24"/>
    </w:rPr>
  </w:style>
  <w:style w:type="paragraph" w:styleId="a4">
    <w:name w:val="footer"/>
    <w:basedOn w:val="a"/>
    <w:link w:val="Char0"/>
    <w:uiPriority w:val="99"/>
    <w:unhideWhenUsed/>
    <w:rsid w:val="004469D4"/>
    <w:pPr>
      <w:tabs>
        <w:tab w:val="center" w:pos="4153"/>
        <w:tab w:val="right" w:pos="8306"/>
      </w:tabs>
    </w:pPr>
    <w:rPr>
      <w:sz w:val="18"/>
      <w:szCs w:val="18"/>
    </w:rPr>
  </w:style>
  <w:style w:type="paragraph" w:styleId="a5">
    <w:name w:val="header"/>
    <w:basedOn w:val="a"/>
    <w:link w:val="Char1"/>
    <w:uiPriority w:val="99"/>
    <w:semiHidden/>
    <w:unhideWhenUsed/>
    <w:rsid w:val="004469D4"/>
    <w:pPr>
      <w:pBdr>
        <w:bottom w:val="single" w:sz="6" w:space="1" w:color="auto"/>
      </w:pBdr>
      <w:tabs>
        <w:tab w:val="center" w:pos="4153"/>
        <w:tab w:val="right" w:pos="8306"/>
      </w:tabs>
      <w:jc w:val="center"/>
    </w:pPr>
    <w:rPr>
      <w:sz w:val="18"/>
      <w:szCs w:val="18"/>
    </w:rPr>
  </w:style>
  <w:style w:type="paragraph" w:customStyle="1" w:styleId="ListParagraph1">
    <w:name w:val="List Paragraph1"/>
    <w:basedOn w:val="a"/>
    <w:uiPriority w:val="99"/>
    <w:rsid w:val="004469D4"/>
    <w:pPr>
      <w:ind w:firstLineChars="200" w:firstLine="420"/>
    </w:pPr>
  </w:style>
  <w:style w:type="character" w:customStyle="1" w:styleId="Char1">
    <w:name w:val="页眉 Char"/>
    <w:basedOn w:val="a0"/>
    <w:link w:val="a5"/>
    <w:uiPriority w:val="99"/>
    <w:semiHidden/>
    <w:rsid w:val="004469D4"/>
    <w:rPr>
      <w:rFonts w:ascii="Tahoma" w:eastAsia="微软雅黑" w:hAnsi="Tahoma"/>
      <w:kern w:val="0"/>
      <w:sz w:val="18"/>
      <w:szCs w:val="18"/>
    </w:rPr>
  </w:style>
  <w:style w:type="character" w:customStyle="1" w:styleId="Char0">
    <w:name w:val="页脚 Char"/>
    <w:basedOn w:val="a0"/>
    <w:link w:val="a4"/>
    <w:uiPriority w:val="99"/>
    <w:rsid w:val="004469D4"/>
    <w:rPr>
      <w:rFonts w:ascii="Tahoma" w:eastAsia="微软雅黑" w:hAnsi="Tahoma"/>
      <w:kern w:val="0"/>
      <w:sz w:val="18"/>
      <w:szCs w:val="18"/>
    </w:rPr>
  </w:style>
  <w:style w:type="character" w:customStyle="1" w:styleId="Char">
    <w:name w:val="正文缩进 Char"/>
    <w:link w:val="a3"/>
    <w:rsid w:val="004469D4"/>
    <w:rPr>
      <w:rFonts w:ascii="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招标公告编辑（共同部分）示范要求</dc:title>
  <dc:creator>Administrator</dc:creator>
  <cp:lastModifiedBy>孔繁波</cp:lastModifiedBy>
  <cp:revision>2</cp:revision>
  <cp:lastPrinted>2019-01-31T02:12:00Z</cp:lastPrinted>
  <dcterms:created xsi:type="dcterms:W3CDTF">2019-01-31T06:31:00Z</dcterms:created>
  <dcterms:modified xsi:type="dcterms:W3CDTF">2019-01-31T06:31:00Z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